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1DF7" w14:textId="338813AB" w:rsidR="006B0E3D" w:rsidRPr="00A540F8" w:rsidRDefault="00A540F8">
      <w:pPr>
        <w:rPr>
          <w:b/>
          <w:bCs/>
        </w:rPr>
      </w:pPr>
      <w:r w:rsidRPr="00A540F8">
        <w:rPr>
          <w:b/>
          <w:bCs/>
        </w:rPr>
        <w:t xml:space="preserve">Development of the Manufacturing Process for </w:t>
      </w:r>
      <w:proofErr w:type="spellStart"/>
      <w:r w:rsidRPr="00A540F8">
        <w:rPr>
          <w:b/>
          <w:bCs/>
        </w:rPr>
        <w:t>Danuglipron</w:t>
      </w:r>
      <w:proofErr w:type="spellEnd"/>
    </w:p>
    <w:p w14:paraId="6C9E3350" w14:textId="47A39D9E" w:rsidR="00A540F8" w:rsidRDefault="00A540F8" w:rsidP="00A540F8">
      <w:pPr>
        <w:jc w:val="both"/>
      </w:pPr>
      <w:proofErr w:type="spellStart"/>
      <w:r>
        <w:t>Danuglipron</w:t>
      </w:r>
      <w:proofErr w:type="spellEnd"/>
      <w:r>
        <w:t>, a non</w:t>
      </w:r>
      <w:r>
        <w:t>-</w:t>
      </w:r>
      <w:proofErr w:type="spellStart"/>
      <w:r>
        <w:t>peptidic</w:t>
      </w:r>
      <w:proofErr w:type="spellEnd"/>
      <w:r>
        <w:t xml:space="preserve"> glucagon</w:t>
      </w:r>
      <w:r>
        <w:t>-</w:t>
      </w:r>
      <w:r>
        <w:t>like peptide</w:t>
      </w:r>
      <w:r>
        <w:t>-</w:t>
      </w:r>
      <w:r>
        <w:t>1</w:t>
      </w:r>
      <w:r>
        <w:t>-</w:t>
      </w:r>
      <w:r>
        <w:t>receptor (GLP</w:t>
      </w:r>
      <w:r>
        <w:t>-</w:t>
      </w:r>
      <w:r>
        <w:t xml:space="preserve">1R) agonist, was developed by Pfizer as a potential oral therapy for type 2 diabetes mellitus and obesity, requiring a robust, scalable, and sustainable manufacturing route. This presentation describes the integrated development of </w:t>
      </w:r>
      <w:r>
        <w:t>end-to-end</w:t>
      </w:r>
      <w:r>
        <w:t xml:space="preserve"> commercial synthesis, spanning key starting materials through the active pharmaceutical ingredient (API).</w:t>
      </w:r>
    </w:p>
    <w:p w14:paraId="0C236A7E" w14:textId="6FEAEA23" w:rsidR="00A540F8" w:rsidRDefault="00A540F8" w:rsidP="00A540F8">
      <w:pPr>
        <w:jc w:val="both"/>
      </w:pPr>
      <w:r>
        <w:t>A manufacturing process for 3</w:t>
      </w:r>
      <w:r>
        <w:t>-</w:t>
      </w:r>
      <w:r>
        <w:t>fluoro</w:t>
      </w:r>
      <w:r>
        <w:t>-</w:t>
      </w:r>
      <w:r>
        <w:t>4</w:t>
      </w:r>
      <w:r>
        <w:t>-</w:t>
      </w:r>
      <w:r>
        <w:t>(</w:t>
      </w:r>
      <w:proofErr w:type="gramStart"/>
      <w:r>
        <w:t>hydroxymethyl)benzonitrile</w:t>
      </w:r>
      <w:proofErr w:type="gramEnd"/>
      <w:r>
        <w:t xml:space="preserve"> was established following evaluation of multiple viable pathways, concluding in a robust route featuring radical </w:t>
      </w:r>
      <w:proofErr w:type="spellStart"/>
      <w:r>
        <w:t>photobromination</w:t>
      </w:r>
      <w:proofErr w:type="spellEnd"/>
      <w:r>
        <w:t xml:space="preserve"> and selective hydrolysis to deliver metric ton quantities in 77% overall yield. In parallel, a flow process was developed to access tert</w:t>
      </w:r>
      <w:r>
        <w:t>-</w:t>
      </w:r>
      <w:r>
        <w:t>butyl</w:t>
      </w:r>
      <w:r>
        <w:t>-</w:t>
      </w:r>
      <w:r>
        <w:t>4</w:t>
      </w:r>
      <w:r>
        <w:t>-</w:t>
      </w:r>
      <w:r>
        <w:t>(6</w:t>
      </w:r>
      <w:r>
        <w:t>-</w:t>
      </w:r>
      <w:r>
        <w:t>chloropyridin</w:t>
      </w:r>
      <w:r>
        <w:t>-</w:t>
      </w:r>
      <w:r>
        <w:t>2</w:t>
      </w:r>
      <w:r>
        <w:t>-</w:t>
      </w:r>
      <w:r>
        <w:t>yl)</w:t>
      </w:r>
      <w:r>
        <w:t>-</w:t>
      </w:r>
      <w:r>
        <w:t>piperidine</w:t>
      </w:r>
      <w:r>
        <w:t>-</w:t>
      </w:r>
      <w:r>
        <w:t>1</w:t>
      </w:r>
      <w:r>
        <w:t>-</w:t>
      </w:r>
      <w:r>
        <w:t>carboxylate, enabling multikilogram production with reduced process mass intensity (PMI) and cycle time.</w:t>
      </w:r>
    </w:p>
    <w:p w14:paraId="2795BD19" w14:textId="43BB5E01" w:rsidR="00A540F8" w:rsidRDefault="00A540F8" w:rsidP="00A540F8">
      <w:pPr>
        <w:jc w:val="both"/>
      </w:pPr>
      <w:r>
        <w:t>Building on this foundation, the API regulatory route was developed. A telescoped palladium catalyzed C–O coupling and acidic tert</w:t>
      </w:r>
      <w:r>
        <w:t>-</w:t>
      </w:r>
      <w:proofErr w:type="spellStart"/>
      <w:r>
        <w:t>butoxycarbonyl</w:t>
      </w:r>
      <w:proofErr w:type="spellEnd"/>
      <w:r>
        <w:t xml:space="preserve"> deprotection provided a reliable sequence to a key intermediate. Application of a data driven process design strategy leveraging high</w:t>
      </w:r>
      <w:r>
        <w:t>-</w:t>
      </w:r>
      <w:r>
        <w:t>throughput experimentation enabled rapid reaction understanding, unbiased decision</w:t>
      </w:r>
      <w:r>
        <w:t>-</w:t>
      </w:r>
      <w:r>
        <w:t>making, and proactive risk mitigation. This approach delivered an optimized five</w:t>
      </w:r>
      <w:r>
        <w:t>-</w:t>
      </w:r>
      <w:r>
        <w:t>step route, increasing overall yield from 31% to 64% and reducing PMI from 231 to 73 kg/kg API. The final process was successfully scaled to support production of clinical</w:t>
      </w:r>
      <w:r>
        <w:t>-</w:t>
      </w:r>
      <w:r>
        <w:t>grade material.</w:t>
      </w:r>
    </w:p>
    <w:sectPr w:rsidR="00A54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F8"/>
    <w:rsid w:val="002508BA"/>
    <w:rsid w:val="006B0E3D"/>
    <w:rsid w:val="008216E6"/>
    <w:rsid w:val="00880D18"/>
    <w:rsid w:val="00A15B79"/>
    <w:rsid w:val="00A540F8"/>
    <w:rsid w:val="00E0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A7F9"/>
  <w15:chartTrackingRefBased/>
  <w15:docId w15:val="{EBB38C5C-2A1B-491B-9F08-E4174F2B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0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0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0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0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0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1365</Characters>
  <Application>Microsoft Office Word</Application>
  <DocSecurity>0</DocSecurity>
  <Lines>20</Lines>
  <Paragraphs>4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</dc:creator>
  <cp:keywords/>
  <dc:description/>
  <cp:lastModifiedBy>Fernandez, David</cp:lastModifiedBy>
  <cp:revision>1</cp:revision>
  <dcterms:created xsi:type="dcterms:W3CDTF">2026-04-06T15:07:00Z</dcterms:created>
  <dcterms:modified xsi:type="dcterms:W3CDTF">2026-04-06T15:12:00Z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2026-04-06T15:12:23Z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98f4072d-b309-431c-a5de-8820a176186c</vt:lpwstr>
  </property>
  <property fmtid="{D5CDD505-2E9C-101B-9397-08002B2CF9AE}" pid="8" name="MSIP_Label_4791b42f-c435-42ca-9531-75a3f42aae3d_ContentBits">
    <vt:lpwstr>0</vt:lpwstr>
  </property>
  <property fmtid="{D5CDD505-2E9C-101B-9397-08002B2CF9AE}" pid="9" name="MSIP_Label_4791b42f-c435-42ca-9531-75a3f42aae3d_Tag">
    <vt:lpwstr>10, 0, 1, 1</vt:lpwstr>
  </property>
</Properties>
</file>