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36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bookmarkStart w:id="0" w:name="_GoBack"/>
      <w:bookmarkEnd w:id="0"/>
      <w:r w:rsidRPr="00A32CAF">
        <w:rPr>
          <w:b/>
          <w:sz w:val="30"/>
          <w:szCs w:val="30"/>
          <w:lang w:val="ca-ES"/>
        </w:rPr>
        <w:t>Procés d’acreditació</w:t>
      </w:r>
      <w:r w:rsidR="00A32CAF" w:rsidRPr="00A32CAF">
        <w:rPr>
          <w:b/>
          <w:sz w:val="30"/>
          <w:szCs w:val="30"/>
          <w:lang w:val="ca-ES"/>
        </w:rPr>
        <w:t xml:space="preserve"> </w:t>
      </w:r>
      <w:r w:rsidRPr="00A32CAF">
        <w:rPr>
          <w:b/>
          <w:sz w:val="30"/>
          <w:szCs w:val="30"/>
          <w:lang w:val="ca-ES"/>
        </w:rPr>
        <w:t>de titulacions de grau i de màster universitari</w:t>
      </w:r>
    </w:p>
    <w:p w:rsidR="008A6B7A" w:rsidRPr="00A32CAF" w:rsidRDefault="008A6B7A" w:rsidP="006E64FF">
      <w:pPr>
        <w:spacing w:after="0" w:line="240" w:lineRule="auto"/>
        <w:jc w:val="center"/>
        <w:rPr>
          <w:b/>
          <w:sz w:val="30"/>
          <w:szCs w:val="30"/>
          <w:lang w:val="ca-ES"/>
        </w:rPr>
      </w:pPr>
      <w:r w:rsidRPr="00A32CAF">
        <w:rPr>
          <w:b/>
          <w:sz w:val="30"/>
          <w:szCs w:val="30"/>
          <w:lang w:val="ca-ES"/>
        </w:rPr>
        <w:t>Visita externa del Comitè d’Avaluació Externa</w:t>
      </w:r>
    </w:p>
    <w:p w:rsidR="00B255E9" w:rsidRPr="006E64FF" w:rsidRDefault="00B255E9" w:rsidP="006E64FF">
      <w:pPr>
        <w:spacing w:after="0" w:line="240" w:lineRule="auto"/>
        <w:rPr>
          <w:lang w:val="ca-ES"/>
        </w:rPr>
      </w:pPr>
    </w:p>
    <w:p w:rsidR="00B255E9" w:rsidRPr="000E2B0B" w:rsidRDefault="00B255E9" w:rsidP="006E64FF">
      <w:pPr>
        <w:spacing w:after="0" w:line="240" w:lineRule="auto"/>
        <w:rPr>
          <w:b/>
          <w:sz w:val="24"/>
          <w:szCs w:val="24"/>
          <w:lang w:val="ca-ES"/>
        </w:rPr>
      </w:pPr>
      <w:r w:rsidRPr="000E2B0B">
        <w:rPr>
          <w:b/>
          <w:sz w:val="24"/>
          <w:szCs w:val="24"/>
          <w:lang w:val="ca-ES"/>
        </w:rPr>
        <w:t>1. Avaluació externa i Comitè d’Avaluació Externa</w:t>
      </w:r>
    </w:p>
    <w:p w:rsidR="00097E72" w:rsidRDefault="00097E72" w:rsidP="006E64FF">
      <w:pPr>
        <w:spacing w:after="0" w:line="240" w:lineRule="auto"/>
        <w:jc w:val="both"/>
        <w:rPr>
          <w:lang w:val="ca-ES"/>
        </w:rPr>
      </w:pPr>
    </w:p>
    <w:p w:rsidR="008A6B7A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>En tot procés d’acreditació és necessari que un comitè d’avaluadors externs visiti la institució, l’informe del qual és peça clau en la decisió que finalment adoptar</w:t>
      </w:r>
      <w:r w:rsidR="000E2B0B">
        <w:rPr>
          <w:lang w:val="ca-ES"/>
        </w:rPr>
        <w:t>an les comissions d’acreditació d’AQU.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 xml:space="preserve">L’encàrrec </w:t>
      </w:r>
      <w:r w:rsidR="00BB37A4">
        <w:rPr>
          <w:lang w:val="ca-ES"/>
        </w:rPr>
        <w:t>de conduir l’avaluació externa en</w:t>
      </w:r>
      <w:r w:rsidRPr="006E64FF">
        <w:rPr>
          <w:lang w:val="ca-ES"/>
        </w:rPr>
        <w:t xml:space="preserve"> un centre concret recau en els comitès d’avaluació externa (CAE), la funció principal dels quals és l’avaluació de les titulacions del centre i l’emissió d’un informe d’avaluació externa.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>Per a cada un dels centres que s’avaluen es constitueix un CAE</w:t>
      </w:r>
      <w:r w:rsidR="00BB37A4">
        <w:rPr>
          <w:rFonts w:asciiTheme="minorHAnsi" w:hAnsiTheme="minorHAnsi"/>
          <w:sz w:val="22"/>
          <w:szCs w:val="22"/>
          <w:lang w:val="ca-ES"/>
        </w:rPr>
        <w:t xml:space="preserve"> (o dos en funció del número de titulacions a avaluar)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, la composició del qual es fa tenint en compte l’àmbit de coneixement concret del centre. AQU presentarà la composició del CAE a la institució perquè indiqui si es dóna algun conflicte d’interessos per algun dels seus membres. Només en aquest cas es procediria a un canvi de composició. Un cop realitzada l’avaluació i emès l’informe d’avaluació externa, el CAE finalitza la seva activitat. </w:t>
      </w:r>
    </w:p>
    <w:p w:rsidR="000E2B0B" w:rsidRPr="006E64FF" w:rsidRDefault="000E2B0B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composició estàndard dels CAE és la següent: 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El/la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president/a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vocal acadèmic/a </w:t>
      </w:r>
      <w:r w:rsidRPr="006E64FF">
        <w:rPr>
          <w:rFonts w:asciiTheme="minorHAnsi" w:hAnsiTheme="minorHAnsi"/>
          <w:sz w:val="22"/>
          <w:szCs w:val="22"/>
          <w:lang w:val="ca-ES"/>
        </w:rPr>
        <w:t>per cada un dels àmbits de coneixement del centre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>persona de reconegut mèrit professional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estudiant </w:t>
      </w:r>
      <w:r w:rsidRPr="006E64FF">
        <w:rPr>
          <w:rFonts w:asciiTheme="minorHAnsi" w:hAnsiTheme="minorHAnsi"/>
          <w:sz w:val="22"/>
          <w:szCs w:val="22"/>
          <w:lang w:val="ca-ES"/>
        </w:rPr>
        <w:t>de l’àmbit de coneixement del centre</w:t>
      </w:r>
    </w:p>
    <w:p w:rsidR="00B255E9" w:rsidRPr="006E64FF" w:rsidRDefault="00B255E9" w:rsidP="006E64FF">
      <w:pPr>
        <w:pStyle w:val="Defaul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Un/a </w:t>
      </w:r>
      <w:r w:rsidRPr="006E64FF">
        <w:rPr>
          <w:rFonts w:asciiTheme="minorHAnsi" w:hAnsiTheme="minorHAnsi"/>
          <w:b/>
          <w:bCs/>
          <w:sz w:val="22"/>
          <w:szCs w:val="22"/>
          <w:lang w:val="ca-ES"/>
        </w:rPr>
        <w:t xml:space="preserve">secretari/ària </w:t>
      </w:r>
      <w:r w:rsidRPr="006E64FF">
        <w:rPr>
          <w:rFonts w:asciiTheme="minorHAnsi" w:hAnsiTheme="minorHAnsi"/>
          <w:sz w:val="22"/>
          <w:szCs w:val="22"/>
          <w:lang w:val="ca-ES"/>
        </w:rPr>
        <w:t>especialista en metodologia (AQU)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La funció dels CAE és dur a terme l’avaluació externa del centre, segons el procés dissenyat per a l’acreditació. Aquest procés defineix les tasques següents per als CAE: </w:t>
      </w:r>
    </w:p>
    <w:p w:rsidR="00B255E9" w:rsidRPr="006E64FF" w:rsidRDefault="00B255E9" w:rsidP="006E64FF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Avaluació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de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 </w:t>
      </w:r>
      <w:r w:rsidRPr="006E64FF">
        <w:rPr>
          <w:rFonts w:asciiTheme="minorHAnsi" w:hAnsiTheme="minorHAnsi"/>
          <w:sz w:val="22"/>
          <w:szCs w:val="22"/>
          <w:lang w:val="ca-ES"/>
        </w:rPr>
        <w:t>la documentació (</w:t>
      </w:r>
      <w:r w:rsidR="000E2B0B">
        <w:rPr>
          <w:rFonts w:asciiTheme="minorHAnsi" w:hAnsiTheme="minorHAnsi"/>
          <w:sz w:val="22"/>
          <w:szCs w:val="22"/>
          <w:lang w:val="ca-ES"/>
        </w:rPr>
        <w:t xml:space="preserve">autoinforme i 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evidències) que el centre ha preparat per al procés d’avaluació externa. 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Visita prèvia </w:t>
      </w:r>
      <w:r w:rsidR="00566087">
        <w:rPr>
          <w:rFonts w:asciiTheme="minorHAnsi" w:hAnsiTheme="minorHAnsi"/>
          <w:sz w:val="22"/>
          <w:szCs w:val="22"/>
          <w:lang w:val="ca-ES"/>
        </w:rPr>
        <w:t xml:space="preserve">(opcional) </w:t>
      </w:r>
      <w:r w:rsidRPr="006E64FF">
        <w:rPr>
          <w:rFonts w:asciiTheme="minorHAnsi" w:hAnsiTheme="minorHAnsi"/>
          <w:sz w:val="22"/>
          <w:szCs w:val="22"/>
          <w:lang w:val="ca-ES"/>
        </w:rPr>
        <w:t>del president i el secretari del CAE al centre, per tal de planificar la visita i, si cal, resoldre dubtes i verificar aspectes concrets de la documentació aportada. En cas que no es detectin gran</w:t>
      </w:r>
      <w:r w:rsidR="00C97E9A">
        <w:rPr>
          <w:rFonts w:asciiTheme="minorHAnsi" w:hAnsiTheme="minorHAnsi"/>
          <w:sz w:val="22"/>
          <w:szCs w:val="22"/>
          <w:lang w:val="ca-ES"/>
        </w:rPr>
        <w:t>s</w:t>
      </w:r>
      <w:r w:rsidRPr="006E64FF">
        <w:rPr>
          <w:rFonts w:asciiTheme="minorHAnsi" w:hAnsiTheme="minorHAnsi"/>
          <w:sz w:val="22"/>
          <w:szCs w:val="22"/>
          <w:lang w:val="ca-ES"/>
        </w:rPr>
        <w:t xml:space="preserve"> problemes, aquesta visita prèvia és substituïda per un informe de revisió d’evidències.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>Preparació de la visita, en què els membres del CAE posen en comú la informació analitzada i determinen les qüestions a plantejar en el moment de la visita al centre.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Desenvolupament de la visita al centre. </w:t>
      </w:r>
    </w:p>
    <w:p w:rsidR="00B255E9" w:rsidRPr="006E64FF" w:rsidRDefault="00B255E9" w:rsidP="006E64FF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6E64FF">
        <w:rPr>
          <w:rFonts w:asciiTheme="minorHAnsi" w:hAnsiTheme="minorHAnsi"/>
          <w:sz w:val="22"/>
          <w:szCs w:val="22"/>
          <w:lang w:val="ca-ES"/>
        </w:rPr>
        <w:t xml:space="preserve">Elaboració i consens de l’informe d’avaluació externa. </w:t>
      </w: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</w:p>
    <w:p w:rsidR="00B255E9" w:rsidRPr="006E64FF" w:rsidRDefault="00B255E9" w:rsidP="006E64FF">
      <w:pPr>
        <w:spacing w:after="0" w:line="240" w:lineRule="auto"/>
        <w:jc w:val="both"/>
        <w:rPr>
          <w:lang w:val="ca-ES"/>
        </w:rPr>
      </w:pPr>
      <w:r w:rsidRPr="006E64FF">
        <w:rPr>
          <w:lang w:val="ca-ES"/>
        </w:rPr>
        <w:t xml:space="preserve">El resultat d’aquest conjunt de tasques és un </w:t>
      </w:r>
      <w:r w:rsidRPr="006E64FF">
        <w:rPr>
          <w:b/>
          <w:bCs/>
          <w:lang w:val="ca-ES"/>
        </w:rPr>
        <w:t xml:space="preserve">informe d’avaluació externa </w:t>
      </w:r>
      <w:r w:rsidRPr="006E64FF">
        <w:rPr>
          <w:lang w:val="ca-ES"/>
        </w:rPr>
        <w:t>que el CAE eleva a la comissió d’acreditació corresponent.</w:t>
      </w:r>
    </w:p>
    <w:p w:rsidR="008A6B7A" w:rsidRPr="006E64FF" w:rsidRDefault="008A6B7A" w:rsidP="006E64FF">
      <w:pPr>
        <w:spacing w:after="0" w:line="240" w:lineRule="auto"/>
        <w:jc w:val="both"/>
        <w:rPr>
          <w:lang w:val="ca-ES"/>
        </w:rPr>
      </w:pPr>
    </w:p>
    <w:p w:rsidR="00B255E9" w:rsidRPr="000E2B0B" w:rsidRDefault="00B255E9" w:rsidP="006E64FF">
      <w:pPr>
        <w:spacing w:after="0" w:line="240" w:lineRule="auto"/>
        <w:rPr>
          <w:b/>
          <w:sz w:val="24"/>
          <w:szCs w:val="24"/>
          <w:lang w:val="ca-ES"/>
        </w:rPr>
      </w:pPr>
      <w:r w:rsidRPr="000E2B0B">
        <w:rPr>
          <w:b/>
          <w:sz w:val="24"/>
          <w:szCs w:val="24"/>
          <w:lang w:val="ca-ES"/>
        </w:rPr>
        <w:t>2. Organització i desenvolupament de la visita externa</w:t>
      </w:r>
    </w:p>
    <w:p w:rsidR="006E64FF" w:rsidRP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t>2.1 Organització de la visita externa</w:t>
      </w:r>
    </w:p>
    <w:p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32CA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lastRenderedPageBreak/>
        <w:t>El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 centre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universitari, conjuntament amb el CAE,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organitzarà l’agenda de la visita, en què estaran delimitades les diferents audiències acordades prèviament (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equip de govern/CAI,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professorat, estudiants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 graduats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, ocupadors i PAS).</w:t>
      </w:r>
    </w:p>
    <w:p w:rsidR="00A2511A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La convocatòria dels assistents a les audiències no obert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depèn del centre</w:t>
      </w:r>
      <w:r w:rsidR="000E2B0B">
        <w:rPr>
          <w:rFonts w:asciiTheme="minorHAnsi" w:hAnsiTheme="minorHAnsi"/>
          <w:color w:val="auto"/>
          <w:sz w:val="22"/>
          <w:szCs w:val="22"/>
          <w:lang w:val="ca-ES"/>
        </w:rPr>
        <w:t>,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cal que sigui suficientment representativa del col·lectiu corresponent i no poden participar (a excepció de l’audiència amb l’equip de govern del centre/CAI) membres que han format part del CAI.</w:t>
      </w: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Les persones convocades a cadascuna de les audiències no obertes han de conèixer prèviament l’autoinforme d’acreditació elaborat pel CAI i les possibles qüestions tipus que el CAE pot plantejar a les audiències (veure l’apartat 2.3).</w:t>
      </w: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S’han de convocar a persones representatives de cada col·lectiu en un nombre suficient per tal de garantir l’assistència i la participació. A no ser que el CAE faci una especificació concreta, orientativament podríem considerar òptim convocar:</w:t>
      </w:r>
    </w:p>
    <w:p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PDI: entre 8 i 12 professors de diferents cursos i de diferents departaments</w:t>
      </w:r>
    </w:p>
    <w:p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Estudiants: entre 8 i 12 de diferents cursos i titulacions</w:t>
      </w:r>
    </w:p>
    <w:p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Graduats: entre 6 i 10 de diferents promocions (si és el cas) i titulacions</w:t>
      </w:r>
    </w:p>
    <w:p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Ocupadors: entre 3 i 6 representatius de sectors de l’àmbit de coneixement</w:t>
      </w:r>
    </w:p>
    <w:p w:rsidR="00A2511A" w:rsidRPr="00A2511A" w:rsidRDefault="00A2511A" w:rsidP="00A2511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Tots els membres del CAI i tots els membres de l’Equip directiu</w:t>
      </w: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MOLT IMPORTANT: Els membres del CAI </w:t>
      </w:r>
      <w:r w:rsidRPr="00A2511A">
        <w:rPr>
          <w:rFonts w:cs="Arial"/>
          <w:b/>
          <w:bCs/>
          <w:lang w:val="ca-ES"/>
        </w:rPr>
        <w:t xml:space="preserve">no poden </w:t>
      </w:r>
      <w:r w:rsidRPr="00A2511A">
        <w:rPr>
          <w:rFonts w:cs="Arial"/>
          <w:lang w:val="ca-ES"/>
        </w:rPr>
        <w:t>participar com a assistents a les</w:t>
      </w:r>
      <w:r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reunions dels seus col·lectius.</w:t>
      </w: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Cal que el centre enviï a l’OQD, com a mínim </w:t>
      </w:r>
      <w:r w:rsidR="00E77768">
        <w:rPr>
          <w:rFonts w:asciiTheme="minorHAnsi" w:hAnsiTheme="minorHAnsi"/>
          <w:color w:val="auto"/>
          <w:sz w:val="22"/>
          <w:szCs w:val="22"/>
          <w:lang w:val="ca-ES"/>
        </w:rPr>
        <w:t>deu dies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abans de la visita externa, la relació nominal (nom, càrrec, titulació) dels convocats a cadascuna de les audiències no públiques, </w:t>
      </w:r>
      <w:r w:rsidRPr="00A2511A">
        <w:rPr>
          <w:rFonts w:asciiTheme="minorHAnsi" w:hAnsiTheme="minorHAnsi"/>
          <w:color w:val="auto"/>
          <w:sz w:val="22"/>
          <w:szCs w:val="22"/>
          <w:lang w:val="ca-ES"/>
        </w:rPr>
        <w:t>per exemple:</w:t>
      </w:r>
    </w:p>
    <w:p w:rsid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1. Nom, cognom, professor del departament nnnnnn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2. Nom, cognom, professor del departament nnnnnn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3. ....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O bé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1. Nom, cognom, estudiant de la titulació de nnnnnn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2. Nom, cognom, estudiant de la titulació de nnnnnn</w:t>
      </w:r>
    </w:p>
    <w:p w:rsidR="00A2511A" w:rsidRPr="00A2511A" w:rsidRDefault="00A2511A" w:rsidP="00A2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3. ...</w:t>
      </w: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El centre organitzarà una visita a les instal·lacions amb un responsable d’acompanyar al CAE durant la mateixa.</w:t>
      </w: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Default="00A32CA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Cal </w:t>
      </w:r>
      <w:r w:rsidR="006E64FF" w:rsidRPr="006E64FF">
        <w:rPr>
          <w:rFonts w:asciiTheme="minorHAnsi" w:hAnsiTheme="minorHAnsi"/>
          <w:color w:val="auto"/>
          <w:sz w:val="22"/>
          <w:szCs w:val="22"/>
          <w:lang w:val="ca-ES"/>
        </w:rPr>
        <w:t>preveure l’espai ne</w:t>
      </w:r>
      <w:r>
        <w:rPr>
          <w:rFonts w:asciiTheme="minorHAnsi" w:hAnsiTheme="minorHAnsi"/>
          <w:color w:val="auto"/>
          <w:sz w:val="22"/>
          <w:szCs w:val="22"/>
          <w:lang w:val="ca-ES"/>
        </w:rPr>
        <w:t>cessari per al treball del CAE: mateixa sala d’audiències o no. Cal garantir que l’espai disposi d’un ordinador connectat a xarxa i que l’espai disposi de xarxa wifi.</w:t>
      </w: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El/la secretari/ària del CAE es posarà en contacte amb el centre perquè li facilitin el contacte del servei de restauració per al dinar del CAE </w:t>
      </w:r>
      <w:r w:rsidR="0027390E">
        <w:rPr>
          <w:rFonts w:asciiTheme="minorHAnsi" w:hAnsiTheme="minorHAnsi"/>
          <w:color w:val="auto"/>
          <w:sz w:val="22"/>
          <w:szCs w:val="22"/>
          <w:lang w:val="ca-ES"/>
        </w:rPr>
        <w:t>del dia de la visita (a càrrec d’AQU).</w:t>
      </w: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Pr="006E64FF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La data de la visita externa i l’agenda prevista d’audiències s’han de fer públiques a tots grups d’interès, per si qualsevol persona que no hagi estat convocada a alguna audiència, i vulgui, tingui accés a l’audiència oberta.</w:t>
      </w: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A2511A" w:rsidRDefault="00A2511A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Pr="000E2B0B" w:rsidRDefault="006E64FF" w:rsidP="006E64FF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0E2B0B">
        <w:rPr>
          <w:rFonts w:asciiTheme="minorHAnsi" w:hAnsiTheme="minorHAnsi"/>
          <w:b/>
          <w:bCs/>
          <w:color w:val="auto"/>
          <w:lang w:val="ca-ES"/>
        </w:rPr>
        <w:t>2.2 Desenvolupament de la visita externa</w:t>
      </w:r>
    </w:p>
    <w:p w:rsidR="00097E72" w:rsidRDefault="00097E72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6E64FF" w:rsidRDefault="006E64FF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L’objectiu principal </w:t>
      </w:r>
      <w:r w:rsidR="00CA421D">
        <w:rPr>
          <w:rFonts w:asciiTheme="minorHAnsi" w:hAnsiTheme="minorHAnsi"/>
          <w:color w:val="auto"/>
          <w:sz w:val="22"/>
          <w:szCs w:val="22"/>
          <w:lang w:val="ca-ES"/>
        </w:rPr>
        <w:t xml:space="preserve">de la visita externa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és conèixer </w:t>
      </w:r>
      <w:r w:rsidRPr="006E64FF">
        <w:rPr>
          <w:rFonts w:asciiTheme="minorHAnsi" w:hAnsiTheme="minorHAnsi"/>
          <w:i/>
          <w:iCs/>
          <w:color w:val="auto"/>
          <w:sz w:val="22"/>
          <w:szCs w:val="22"/>
          <w:lang w:val="ca-ES"/>
        </w:rPr>
        <w:t xml:space="preserve">in situ 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>el desenvolupament de les titulacions implantades al centre. Es contrastaran o es validaran les evidències aportades, es detectaran controvèrsies o desacords i s’obtindran, si escau, noves evidències que permetin valorar aspectes no considerats a la documentació aportada. El temps de visita</w:t>
      </w:r>
      <w:r w:rsidR="00CA421D">
        <w:rPr>
          <w:rFonts w:asciiTheme="minorHAnsi" w:hAnsiTheme="minorHAnsi"/>
          <w:color w:val="auto"/>
          <w:sz w:val="22"/>
          <w:szCs w:val="22"/>
          <w:lang w:val="ca-ES"/>
        </w:rPr>
        <w:t>, 1 o 2 dies,</w:t>
      </w:r>
      <w:r w:rsidRPr="006E64FF">
        <w:rPr>
          <w:rFonts w:asciiTheme="minorHAnsi" w:hAnsiTheme="minorHAnsi"/>
          <w:color w:val="auto"/>
          <w:sz w:val="22"/>
          <w:szCs w:val="22"/>
          <w:lang w:val="ca-ES"/>
        </w:rPr>
        <w:t xml:space="preserve"> dependrà del nombre de titulacions a avaluar i del seu estat. </w:t>
      </w: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CA421D" w:rsidRDefault="00CA421D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Programa</w:t>
      </w:r>
      <w:r w:rsidR="00566087">
        <w:rPr>
          <w:rFonts w:asciiTheme="minorHAnsi" w:hAnsiTheme="minorHAnsi"/>
          <w:color w:val="auto"/>
          <w:sz w:val="22"/>
          <w:szCs w:val="22"/>
          <w:lang w:val="ca-ES"/>
        </w:rPr>
        <w:t xml:space="preserve"> tipus </w:t>
      </w:r>
      <w:r>
        <w:rPr>
          <w:rFonts w:asciiTheme="minorHAnsi" w:hAnsiTheme="minorHAnsi"/>
          <w:color w:val="auto"/>
          <w:sz w:val="22"/>
          <w:szCs w:val="22"/>
          <w:lang w:val="ca-ES"/>
        </w:rPr>
        <w:t xml:space="preserve"> de visita externa d’1 dia:</w:t>
      </w:r>
    </w:p>
    <w:p w:rsidR="0027390E" w:rsidRDefault="0027390E" w:rsidP="006E64FF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ca-ES"/>
        </w:rPr>
      </w:pPr>
    </w:p>
    <w:tbl>
      <w:tblPr>
        <w:tblStyle w:val="Taulaambquadrcula"/>
        <w:tblW w:w="8600" w:type="dxa"/>
        <w:tblInd w:w="120" w:type="dxa"/>
        <w:tblLook w:val="04A0" w:firstRow="1" w:lastRow="0" w:firstColumn="1" w:lastColumn="0" w:noHBand="0" w:noVBand="1"/>
      </w:tblPr>
      <w:tblGrid>
        <w:gridCol w:w="1545"/>
        <w:gridCol w:w="7055"/>
      </w:tblGrid>
      <w:tr w:rsidR="00CA421D" w:rsidRPr="00CA421D" w:rsidTr="0027390E">
        <w:tc>
          <w:tcPr>
            <w:tcW w:w="1545" w:type="dxa"/>
            <w:shd w:val="clear" w:color="auto" w:fill="C2D69B" w:themeFill="accent3" w:themeFillTint="99"/>
            <w:vAlign w:val="center"/>
          </w:tcPr>
          <w:p w:rsidR="00CA421D" w:rsidRPr="00CA421D" w:rsidRDefault="00CA421D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ca-ES"/>
              </w:rPr>
            </w:pPr>
            <w:r w:rsidRPr="00CA421D">
              <w:rPr>
                <w:rFonts w:cs="Arial"/>
                <w:b/>
                <w:bCs/>
                <w:lang w:val="ca-ES"/>
              </w:rPr>
              <w:t>Horari</w:t>
            </w:r>
          </w:p>
        </w:tc>
        <w:tc>
          <w:tcPr>
            <w:tcW w:w="7055" w:type="dxa"/>
            <w:shd w:val="clear" w:color="auto" w:fill="C2D69B" w:themeFill="accent3" w:themeFillTint="99"/>
          </w:tcPr>
          <w:p w:rsidR="00CA421D" w:rsidRPr="00CA421D" w:rsidRDefault="00CA421D" w:rsidP="00CA421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ca-ES"/>
              </w:rPr>
            </w:pPr>
            <w:r w:rsidRPr="00CA421D">
              <w:rPr>
                <w:rFonts w:cs="Arial"/>
                <w:b/>
                <w:lang w:val="ca-ES"/>
              </w:rPr>
              <w:t>Activitat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9.30 –   9.45</w:t>
            </w:r>
          </w:p>
        </w:tc>
        <w:tc>
          <w:tcPr>
            <w:tcW w:w="7055" w:type="dxa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 xml:space="preserve">Recepció del CAE per part de l’equip </w:t>
            </w:r>
            <w:r w:rsidR="00CA421D">
              <w:rPr>
                <w:rFonts w:cs="Arial"/>
                <w:lang w:val="ca-ES"/>
              </w:rPr>
              <w:t>de govern</w:t>
            </w:r>
            <w:r w:rsidRPr="006E64FF">
              <w:rPr>
                <w:rFonts w:cs="Arial"/>
                <w:lang w:val="ca-ES"/>
              </w:rPr>
              <w:t xml:space="preserve"> del Centre</w:t>
            </w:r>
            <w:r w:rsidR="00CA421D">
              <w:rPr>
                <w:rFonts w:cs="Arial"/>
                <w:lang w:val="ca-ES"/>
              </w:rPr>
              <w:t>/CAI*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9.45 – 10.15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Treball previ del CAE (consulta del material)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10.15 – 11.00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Entrevista amb l’equip directiu del Centre</w:t>
            </w:r>
            <w:r w:rsidR="00CA421D">
              <w:rPr>
                <w:rFonts w:cs="Arial"/>
                <w:lang w:val="ca-ES"/>
              </w:rPr>
              <w:t>/CAI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11.00 – 11.15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Pausa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11.15 – 12.00</w:t>
            </w:r>
          </w:p>
        </w:tc>
        <w:tc>
          <w:tcPr>
            <w:tcW w:w="7055" w:type="dxa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 xml:space="preserve">Entrevista amb els estudiants (que no </w:t>
            </w:r>
            <w:r w:rsidR="00CA421D">
              <w:rPr>
                <w:rFonts w:cs="Arial"/>
                <w:lang w:val="ca-ES"/>
              </w:rPr>
              <w:t>formin part del CAI)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12.00 – 12.30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Visita a les instal·lacions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12.30 – 13.30</w:t>
            </w:r>
          </w:p>
        </w:tc>
        <w:tc>
          <w:tcPr>
            <w:tcW w:w="7055" w:type="dxa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 xml:space="preserve">Entrevista amb el professorat (que no </w:t>
            </w:r>
            <w:r w:rsidR="00CA421D">
              <w:rPr>
                <w:rFonts w:cs="Arial"/>
                <w:lang w:val="ca-ES"/>
              </w:rPr>
              <w:t>formi part del CAI)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13.30 – 14.30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Dinar del CAE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14.30 – 16.00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>Audiència oberta / Inici elab</w:t>
            </w:r>
            <w:r w:rsidR="00AA3CFA">
              <w:rPr>
                <w:rFonts w:cs="Arial"/>
                <w:lang w:val="ca-ES"/>
              </w:rPr>
              <w:t>oració conclusions preliminars per part del CAE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16.00 – 16.45</w:t>
            </w:r>
          </w:p>
        </w:tc>
        <w:tc>
          <w:tcPr>
            <w:tcW w:w="7055" w:type="dxa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 xml:space="preserve">Entrevista amb els graduats (que no </w:t>
            </w:r>
            <w:r w:rsidR="00CA421D">
              <w:rPr>
                <w:rFonts w:cs="Arial"/>
                <w:lang w:val="ca-ES"/>
              </w:rPr>
              <w:t>formin part del CAI)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16.45 – 17.00</w:t>
            </w:r>
          </w:p>
        </w:tc>
        <w:tc>
          <w:tcPr>
            <w:tcW w:w="7055" w:type="dxa"/>
          </w:tcPr>
          <w:p w:rsidR="006E64FF" w:rsidRPr="006E64FF" w:rsidRDefault="006E64FF" w:rsidP="006E64FF">
            <w:pPr>
              <w:autoSpaceDE w:val="0"/>
              <w:autoSpaceDN w:val="0"/>
              <w:adjustRightInd w:val="0"/>
              <w:jc w:val="both"/>
              <w:rPr>
                <w:rFonts w:cs="Arial"/>
                <w:lang w:val="ca-ES"/>
              </w:rPr>
            </w:pPr>
            <w:r w:rsidRPr="006E64FF">
              <w:rPr>
                <w:rFonts w:cs="Arial"/>
                <w:lang w:val="ca-ES"/>
              </w:rPr>
              <w:t xml:space="preserve">Elaboració conclusions </w:t>
            </w:r>
            <w:r w:rsidR="00AA3CFA">
              <w:rPr>
                <w:rFonts w:cs="Arial"/>
                <w:lang w:val="ca-ES"/>
              </w:rPr>
              <w:t xml:space="preserve">preliminars </w:t>
            </w:r>
            <w:r w:rsidRPr="006E64FF">
              <w:rPr>
                <w:rFonts w:cs="Arial"/>
                <w:lang w:val="ca-ES"/>
              </w:rPr>
              <w:t>per part del CAE</w:t>
            </w:r>
          </w:p>
        </w:tc>
      </w:tr>
      <w:tr w:rsidR="006E64FF" w:rsidRPr="006E64FF" w:rsidTr="00CA421D">
        <w:tc>
          <w:tcPr>
            <w:tcW w:w="1545" w:type="dxa"/>
            <w:shd w:val="clear" w:color="auto" w:fill="C2D69B" w:themeFill="accent3" w:themeFillTint="99"/>
            <w:vAlign w:val="center"/>
          </w:tcPr>
          <w:p w:rsidR="006E64FF" w:rsidRPr="006E64FF" w:rsidRDefault="006E64FF" w:rsidP="00CA421D">
            <w:pPr>
              <w:jc w:val="center"/>
              <w:rPr>
                <w:lang w:val="ca-ES"/>
              </w:rPr>
            </w:pPr>
            <w:r w:rsidRPr="006E64FF">
              <w:rPr>
                <w:rFonts w:cs="Arial"/>
                <w:b/>
                <w:bCs/>
                <w:lang w:val="ca-ES"/>
              </w:rPr>
              <w:t>17.00 – 17.30</w:t>
            </w:r>
          </w:p>
        </w:tc>
        <w:tc>
          <w:tcPr>
            <w:tcW w:w="7055" w:type="dxa"/>
          </w:tcPr>
          <w:p w:rsidR="006E64FF" w:rsidRPr="006E64FF" w:rsidRDefault="006E64FF" w:rsidP="00CA421D">
            <w:pPr>
              <w:jc w:val="both"/>
              <w:rPr>
                <w:lang w:val="ca-ES"/>
              </w:rPr>
            </w:pPr>
            <w:r w:rsidRPr="006E64FF">
              <w:rPr>
                <w:rFonts w:cs="Arial"/>
                <w:lang w:val="ca-ES"/>
              </w:rPr>
              <w:t>Conclusions preliminars i comiat amb l’equip directriu del Centre</w:t>
            </w:r>
            <w:r w:rsidR="00CA421D">
              <w:rPr>
                <w:rFonts w:cs="Arial"/>
                <w:lang w:val="ca-ES"/>
              </w:rPr>
              <w:t>/CAI*</w:t>
            </w:r>
            <w:r w:rsidRPr="006E64FF">
              <w:rPr>
                <w:rFonts w:cs="Arial"/>
                <w:lang w:val="ca-ES"/>
              </w:rPr>
              <w:t xml:space="preserve"> </w:t>
            </w:r>
          </w:p>
        </w:tc>
      </w:tr>
    </w:tbl>
    <w:p w:rsidR="006E64FF" w:rsidRDefault="00CA421D" w:rsidP="006E64FF">
      <w:pPr>
        <w:spacing w:after="0" w:line="240" w:lineRule="auto"/>
        <w:jc w:val="both"/>
        <w:rPr>
          <w:rFonts w:cs="Arial"/>
          <w:lang w:val="ca-ES"/>
        </w:rPr>
      </w:pPr>
      <w:r>
        <w:rPr>
          <w:rFonts w:cs="Arial"/>
          <w:lang w:val="ca-ES"/>
        </w:rPr>
        <w:t>*</w:t>
      </w:r>
      <w:r w:rsidRPr="006E64FF">
        <w:rPr>
          <w:rFonts w:cs="Arial"/>
          <w:lang w:val="ca-ES"/>
        </w:rPr>
        <w:t>també hi assisteixen la vicerectora de Qualitat, Docència i Ocupabilitat, la viceg</w:t>
      </w:r>
      <w:r w:rsidR="00566087">
        <w:rPr>
          <w:rFonts w:cs="Arial"/>
          <w:lang w:val="ca-ES"/>
        </w:rPr>
        <w:t xml:space="preserve">erent d’Ordenació Acadèmica , cap de </w:t>
      </w:r>
      <w:r w:rsidRPr="006E64FF">
        <w:rPr>
          <w:rFonts w:cs="Arial"/>
          <w:lang w:val="ca-ES"/>
        </w:rPr>
        <w:t xml:space="preserve"> </w:t>
      </w:r>
      <w:r w:rsidR="00566087">
        <w:rPr>
          <w:rFonts w:cs="Arial"/>
          <w:lang w:val="ca-ES"/>
        </w:rPr>
        <w:t>de l’Oficina de Qualitat Docent i responsables de l Oficina de Qualitat Docent.</w:t>
      </w:r>
    </w:p>
    <w:p w:rsidR="0027390E" w:rsidRDefault="0027390E" w:rsidP="006E64FF">
      <w:pPr>
        <w:spacing w:after="0" w:line="240" w:lineRule="auto"/>
        <w:jc w:val="both"/>
        <w:rPr>
          <w:rFonts w:cs="Arial"/>
          <w:lang w:val="ca-ES"/>
        </w:rPr>
      </w:pPr>
    </w:p>
    <w:p w:rsidR="0027390E" w:rsidRPr="00A2511A" w:rsidRDefault="00566087" w:rsidP="00A2511A">
      <w:pPr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Algunes variants poden ser: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 xml:space="preserve">Entrevista amb estudiants de 1r curs 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amb estudiants de darrer curs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per separat (en dues reunions o en paral·lel) amb estudiants de la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titulació x i de la titulació z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amb PDI que imparteixen docència a 1r curs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amb directors de departament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amb PAS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Entrevista amb ocupadors (empleadors)</w:t>
      </w:r>
    </w:p>
    <w:p w:rsidR="00566087" w:rsidRPr="00A2511A" w:rsidRDefault="00566087" w:rsidP="00A2511A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  <w:sz w:val="22"/>
          <w:szCs w:val="22"/>
          <w:lang w:val="ca-ES"/>
        </w:rPr>
      </w:pPr>
      <w:r w:rsidRPr="00A2511A">
        <w:rPr>
          <w:rFonts w:asciiTheme="minorHAnsi" w:hAnsiTheme="minorHAnsi"/>
          <w:sz w:val="22"/>
          <w:szCs w:val="22"/>
          <w:lang w:val="ca-ES"/>
        </w:rPr>
        <w:t>Etc.</w:t>
      </w:r>
    </w:p>
    <w:p w:rsidR="00566087" w:rsidRPr="00A2511A" w:rsidRDefault="00566087" w:rsidP="00A2511A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  <w:lang w:val="ca-ES"/>
        </w:rPr>
      </w:pP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  <w:r w:rsidRPr="00A2511A">
        <w:rPr>
          <w:rFonts w:cs="Arial"/>
          <w:lang w:val="ca-ES"/>
        </w:rPr>
        <w:t>La visita a les instal·lacions es fa amb l’objecte de mostrar els espais més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representatius del centre en relació a l’acreditació de les titulacions (aules, laboratoris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docents, aules informàtiques, sales d’estudis, biblioteca, despatxos i espais comuns...).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La visita cal tenir-la preparada amb antelació i cal designar una persona responsable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del centre per acompanyar el CAE i fer les explicacions pertinents.</w:t>
      </w: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ca-ES"/>
        </w:rPr>
      </w:pP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A2511A">
        <w:rPr>
          <w:rFonts w:cs="Arial"/>
          <w:lang w:val="ca-ES"/>
        </w:rPr>
        <w:t>L’audiència oberta és un espai de temps destinat a que totes aquelles persones que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rFonts w:cs="Arial"/>
          <w:lang w:val="ca-ES"/>
        </w:rPr>
        <w:t>no hagin estat convocades a les reunions del seu col·lectiu, puguin, si volen, expressar</w:t>
      </w:r>
      <w:r w:rsidR="00A2511A" w:rsidRP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les opinions que considerin davant el CAE.</w:t>
      </w:r>
    </w:p>
    <w:p w:rsidR="00566087" w:rsidRPr="00A2511A" w:rsidRDefault="00566087" w:rsidP="00A2511A">
      <w:pPr>
        <w:pStyle w:val="Default"/>
        <w:jc w:val="both"/>
        <w:rPr>
          <w:rFonts w:asciiTheme="minorHAnsi" w:hAnsiTheme="minorHAnsi"/>
          <w:sz w:val="22"/>
          <w:szCs w:val="22"/>
          <w:lang w:val="ca-ES"/>
        </w:rPr>
      </w:pPr>
    </w:p>
    <w:p w:rsidR="00566087" w:rsidRPr="00A2511A" w:rsidRDefault="00566087" w:rsidP="00A251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ca-ES"/>
        </w:rPr>
      </w:pPr>
      <w:r w:rsidRPr="00A2511A">
        <w:rPr>
          <w:rFonts w:cs="Arial"/>
          <w:lang w:val="ca-ES"/>
        </w:rPr>
        <w:lastRenderedPageBreak/>
        <w:t>Finalment AQU, a través de la guia d’avaluació, ha identificat una sèrie de preguntes</w:t>
      </w:r>
      <w:r w:rsidR="00A2511A">
        <w:rPr>
          <w:rFonts w:cs="Arial"/>
          <w:lang w:val="ca-ES"/>
        </w:rPr>
        <w:t xml:space="preserve"> </w:t>
      </w:r>
      <w:r w:rsidRPr="00A2511A">
        <w:rPr>
          <w:lang w:val="ca-ES"/>
        </w:rPr>
        <w:t>tipus adreçades a diferents c</w:t>
      </w:r>
      <w:r w:rsidR="00A2511A">
        <w:rPr>
          <w:lang w:val="ca-ES"/>
        </w:rPr>
        <w:t>ol·lectius, com a model pel CAE, que trobareu a continuació a l’apartat 2.3.</w:t>
      </w:r>
    </w:p>
    <w:p w:rsidR="002D05DE" w:rsidRPr="00A2511A" w:rsidRDefault="002D05DE" w:rsidP="002D05DE">
      <w:pPr>
        <w:pStyle w:val="Default"/>
        <w:jc w:val="both"/>
        <w:rPr>
          <w:rFonts w:asciiTheme="minorHAnsi" w:hAnsiTheme="minorHAnsi"/>
          <w:b/>
          <w:bCs/>
          <w:color w:val="auto"/>
          <w:lang w:val="ca-ES"/>
        </w:rPr>
      </w:pPr>
      <w:r w:rsidRPr="00A2511A">
        <w:rPr>
          <w:rFonts w:asciiTheme="minorHAnsi" w:hAnsiTheme="minorHAnsi"/>
          <w:b/>
          <w:bCs/>
          <w:color w:val="auto"/>
          <w:lang w:val="ca-ES"/>
        </w:rPr>
        <w:t>2.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>3</w:t>
      </w:r>
      <w:r w:rsidRPr="00A2511A">
        <w:rPr>
          <w:rFonts w:asciiTheme="minorHAnsi" w:hAnsiTheme="minorHAnsi"/>
          <w:b/>
          <w:bCs/>
          <w:color w:val="auto"/>
          <w:lang w:val="ca-ES"/>
        </w:rPr>
        <w:t xml:space="preserve"> Qüestions </w:t>
      </w:r>
      <w:r w:rsidR="0027390E" w:rsidRPr="00A2511A">
        <w:rPr>
          <w:rFonts w:asciiTheme="minorHAnsi" w:hAnsiTheme="minorHAnsi"/>
          <w:b/>
          <w:bCs/>
          <w:color w:val="auto"/>
          <w:lang w:val="ca-ES"/>
        </w:rPr>
        <w:t xml:space="preserve">tipus </w:t>
      </w:r>
      <w:r w:rsidRPr="00A2511A">
        <w:rPr>
          <w:rFonts w:asciiTheme="minorHAnsi" w:hAnsiTheme="minorHAnsi"/>
          <w:b/>
          <w:bCs/>
          <w:color w:val="auto"/>
          <w:lang w:val="ca-ES"/>
        </w:rPr>
        <w:t>per a les audiències</w:t>
      </w:r>
    </w:p>
    <w:p w:rsidR="00CA421D" w:rsidRPr="006E64FF" w:rsidRDefault="00CA421D" w:rsidP="006E64FF">
      <w:pPr>
        <w:spacing w:after="0" w:line="240" w:lineRule="auto"/>
        <w:jc w:val="both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5065"/>
      </w:tblGrid>
      <w:tr w:rsidR="008A6B7A" w:rsidRPr="006E64FF" w:rsidTr="00CA421D">
        <w:tc>
          <w:tcPr>
            <w:tcW w:w="8720" w:type="dxa"/>
            <w:gridSpan w:val="2"/>
            <w:shd w:val="clear" w:color="auto" w:fill="9BBB59" w:themeFill="accent3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EQUIP DIRECTIU/ COM</w:t>
            </w:r>
            <w:r w:rsidR="00AA3CFA">
              <w:rPr>
                <w:b/>
                <w:lang w:val="ca-ES"/>
              </w:rPr>
              <w:t>ITÈ D’AVALUCIÓ INTERNA</w:t>
            </w:r>
          </w:p>
        </w:tc>
      </w:tr>
      <w:tr w:rsidR="008A6B7A" w:rsidRPr="00BB37A4" w:rsidTr="00AA3CFA">
        <w:trPr>
          <w:trHeight w:val="319"/>
        </w:trPr>
        <w:tc>
          <w:tcPr>
            <w:tcW w:w="3655" w:type="dxa"/>
            <w:shd w:val="clear" w:color="auto" w:fill="D6E3BC" w:themeFill="accent3" w:themeFillTint="66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065" w:type="dxa"/>
            <w:shd w:val="clear" w:color="auto" w:fill="D6E3BC" w:themeFill="accent3" w:themeFillTint="66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A6B7A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informació disponible per als estudiants.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Sostenibilitat de l’obtenció i publicació de la informació.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dependència amb sistemes d’informació centralitzats de la universitat.</w:t>
            </w:r>
          </w:p>
        </w:tc>
      </w:tr>
      <w:tr w:rsidR="008A6B7A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Impacte del SGIQ en la qualitat de les titulacions del centre.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Eficàcia dels processos del SGIQ per al seguiment i la millora de les titulacions.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Eficàcia dels processos del SGIQ per a l’acreditació de les titulacions.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Justificació dels criteris de priorització de les accions de millora de les titulacions.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dels grups d’interès en els processos de seguiment i acreditació de les titulacions i de revisió del SGIQ.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coordinació entre el SGIQ desplegat al centre i el SGIQ de la universitat.</w:t>
            </w:r>
          </w:p>
        </w:tc>
      </w:tr>
      <w:tr w:rsidR="008A6B7A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al primer any de la titulació.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 TFG / pràctiques externes.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Coordinació docent (organització, funcionament, etc.).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suport institucional.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Planificació i política de personal acadèmic.</w:t>
            </w:r>
          </w:p>
        </w:tc>
      </w:tr>
      <w:tr w:rsidR="008A6B7A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instal·lacions docents: nivell d’ocupació, equipament, actualització, manteniment.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Plans d’infraestructures i equipaments.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</w:tc>
      </w:tr>
      <w:tr w:rsidR="008A6B7A" w:rsidRPr="006E64FF" w:rsidTr="00AA3CFA">
        <w:tc>
          <w:tcPr>
            <w:tcW w:w="3655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5065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1"/>
              </w:numPr>
              <w:rPr>
                <w:lang w:val="ca-ES"/>
              </w:rPr>
            </w:pPr>
            <w:r w:rsidRPr="006E64FF">
              <w:rPr>
                <w:lang w:val="ca-ES"/>
              </w:rPr>
              <w:t>Mesures establertes per garantir un nivell de formació adequat.</w:t>
            </w:r>
          </w:p>
        </w:tc>
      </w:tr>
    </w:tbl>
    <w:p w:rsidR="008A6B7A" w:rsidRPr="006E64FF" w:rsidRDefault="008A6B7A" w:rsidP="006E64FF">
      <w:pPr>
        <w:spacing w:after="0" w:line="240" w:lineRule="auto"/>
        <w:rPr>
          <w:lang w:val="ca-ES"/>
        </w:rPr>
      </w:pPr>
    </w:p>
    <w:p w:rsidR="008A6B7A" w:rsidRDefault="008A6B7A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Pr="006E64FF" w:rsidRDefault="0027390E" w:rsidP="006E64FF">
      <w:pPr>
        <w:spacing w:after="0" w:line="240" w:lineRule="auto"/>
        <w:rPr>
          <w:lang w:val="ca-ES"/>
        </w:rPr>
      </w:pPr>
    </w:p>
    <w:p w:rsidR="008A6B7A" w:rsidRPr="006E64FF" w:rsidRDefault="008A6B7A" w:rsidP="006E64FF">
      <w:pPr>
        <w:spacing w:after="0" w:line="240" w:lineRule="auto"/>
        <w:rPr>
          <w:lang w:val="ca-ES"/>
        </w:rPr>
      </w:pPr>
    </w:p>
    <w:p w:rsidR="008A6B7A" w:rsidRPr="006E64FF" w:rsidRDefault="008A6B7A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8"/>
        <w:gridCol w:w="5032"/>
      </w:tblGrid>
      <w:tr w:rsidR="008A6B7A" w:rsidRPr="006E64FF" w:rsidTr="008467E1">
        <w:tc>
          <w:tcPr>
            <w:tcW w:w="14144" w:type="dxa"/>
            <w:gridSpan w:val="2"/>
            <w:shd w:val="clear" w:color="auto" w:fill="9BBB59" w:themeFill="accent3"/>
          </w:tcPr>
          <w:p w:rsidR="008A6B7A" w:rsidRPr="006E64FF" w:rsidRDefault="008A6B7A" w:rsidP="006E64FF">
            <w:pPr>
              <w:jc w:val="center"/>
              <w:rPr>
                <w:b/>
                <w:sz w:val="24"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 xml:space="preserve">PROFESSORAT </w:t>
            </w:r>
          </w:p>
        </w:tc>
      </w:tr>
      <w:tr w:rsidR="008A6B7A" w:rsidRPr="00BB37A4" w:rsidTr="008467E1">
        <w:tc>
          <w:tcPr>
            <w:tcW w:w="5778" w:type="dxa"/>
            <w:shd w:val="clear" w:color="auto" w:fill="D6E3BC" w:themeFill="accent3" w:themeFillTint="66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</w:tcPr>
          <w:p w:rsidR="008A6B7A" w:rsidRPr="006E64FF" w:rsidRDefault="008A6B7A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Adequació de la informació acadèmica disponible durant les diferents etapes del procés formatiu.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Accés al SGIQ de la institució.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 professorat respecte del programa formatiu.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lideratge de l’equip responsable de la titulació en la implementació de les accions de millora.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SGIQ i de participació en la definició, la implementació i la revisió dels processos.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Impacte del SGIQ en la qualitat de les titulacions del centre.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Criteris d’assignació del professorat al primer any de la titulació.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Criteris d’assignació del professorat a TFG / pràctiques externes.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Coordinació docent (organització, funcionament, etc.).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suport institucional.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Qualitat dels fons dels serveis bibliotecaris.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ambles instal·lacions docents: nivell d’ocupació, equipament, actualització, manteniment.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4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processos relatius als recursos materials i els serveis d’orientació.</w:t>
            </w:r>
          </w:p>
        </w:tc>
      </w:tr>
      <w:tr w:rsidR="008A6B7A" w:rsidRPr="006E64FF" w:rsidTr="00AA3CFA">
        <w:tc>
          <w:tcPr>
            <w:tcW w:w="5778" w:type="dxa"/>
            <w:vAlign w:val="center"/>
          </w:tcPr>
          <w:p w:rsidR="008A6B7A" w:rsidRPr="006E64FF" w:rsidRDefault="008A6B7A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 les activitats formatives.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TFG/TFM: funcionament dels processos de supervisió i possible relació amb línies i grups de recerca. </w:t>
            </w:r>
          </w:p>
          <w:p w:rsidR="008A6B7A" w:rsidRPr="006E64FF" w:rsidRDefault="008A6B7A" w:rsidP="00AA3CFA">
            <w:pPr>
              <w:pStyle w:val="Pargrafdellista"/>
              <w:numPr>
                <w:ilvl w:val="0"/>
                <w:numId w:val="15"/>
              </w:numPr>
              <w:rPr>
                <w:lang w:val="ca-ES"/>
              </w:rPr>
            </w:pPr>
            <w:r w:rsidRPr="006E64FF">
              <w:rPr>
                <w:lang w:val="ca-ES"/>
              </w:rPr>
              <w:t>Pràctiques externes: adequació dels centres, funcionament dels processos de supervisió i avaluació</w:t>
            </w:r>
          </w:p>
        </w:tc>
      </w:tr>
    </w:tbl>
    <w:p w:rsidR="008A6B7A" w:rsidRPr="006E64FF" w:rsidRDefault="008A6B7A" w:rsidP="006E64FF">
      <w:pPr>
        <w:spacing w:after="0" w:line="240" w:lineRule="auto"/>
        <w:rPr>
          <w:lang w:val="ca-ES"/>
        </w:rPr>
      </w:pPr>
    </w:p>
    <w:p w:rsidR="00820136" w:rsidRPr="006E64FF" w:rsidRDefault="00820136" w:rsidP="006E64FF">
      <w:pPr>
        <w:spacing w:after="0" w:line="240" w:lineRule="auto"/>
        <w:rPr>
          <w:lang w:val="ca-ES"/>
        </w:rPr>
      </w:pPr>
      <w:r w:rsidRPr="006E64FF">
        <w:rPr>
          <w:lang w:val="ca-ES"/>
        </w:rPr>
        <w:br w:type="page"/>
      </w:r>
    </w:p>
    <w:tbl>
      <w:tblPr>
        <w:tblStyle w:val="Tablaconcuadrcula1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3697"/>
        <w:gridCol w:w="5023"/>
      </w:tblGrid>
      <w:tr w:rsidR="0027390E" w:rsidRPr="006E64FF" w:rsidTr="0027390E">
        <w:tc>
          <w:tcPr>
            <w:tcW w:w="8720" w:type="dxa"/>
            <w:gridSpan w:val="2"/>
            <w:shd w:val="clear" w:color="auto" w:fill="9BBB59" w:themeFill="accent3"/>
          </w:tcPr>
          <w:p w:rsidR="0027390E" w:rsidRPr="006E64FF" w:rsidRDefault="0027390E" w:rsidP="0027390E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lastRenderedPageBreak/>
              <w:t>ESTUDIANTS</w:t>
            </w:r>
          </w:p>
        </w:tc>
      </w:tr>
      <w:tr w:rsidR="0027390E" w:rsidRPr="00BB37A4" w:rsidTr="00AA3CFA">
        <w:trPr>
          <w:trHeight w:val="378"/>
        </w:trPr>
        <w:tc>
          <w:tcPr>
            <w:tcW w:w="3697" w:type="dxa"/>
            <w:shd w:val="clear" w:color="auto" w:fill="D6E3BC" w:themeFill="accent3" w:themeFillTint="66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5023" w:type="dxa"/>
            <w:shd w:val="clear" w:color="auto" w:fill="D6E3BC" w:themeFill="accent3" w:themeFillTint="66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27390E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argrafdellista"/>
              <w:numPr>
                <w:ilvl w:val="0"/>
                <w:numId w:val="2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 la informació acadèmica disponible abans de la matrícula: informació per a la presa de decisions.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Informació administrativa disponible sobre el procés de matrícula, trasllats...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coneixement dels objectius generals de la titulació i el perfil de formació del titulat.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pràctiques externes.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el TFG/TFM.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sobre les accions de mobilitat.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la definició i millora de la informació pública.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sistemes d’informació interns.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1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27390E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dels titulats respecte del programa formatiu.</w:t>
            </w:r>
          </w:p>
        </w:tc>
      </w:tr>
      <w:tr w:rsidR="0027390E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professorat.</w:t>
            </w:r>
          </w:p>
        </w:tc>
      </w:tr>
      <w:tr w:rsidR="0027390E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les instal·lacions docents: nivell d’ocupació, equipament, actualització, manteniment. 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serveis d’orientació professional.</w:t>
            </w:r>
          </w:p>
        </w:tc>
      </w:tr>
      <w:tr w:rsidR="0027390E" w:rsidRPr="006E64FF" w:rsidTr="00AA3CFA">
        <w:tc>
          <w:tcPr>
            <w:tcW w:w="3697" w:type="dxa"/>
            <w:vAlign w:val="center"/>
          </w:tcPr>
          <w:p w:rsidR="0027390E" w:rsidRPr="006E64FF" w:rsidRDefault="0027390E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5023" w:type="dxa"/>
            <w:vAlign w:val="center"/>
          </w:tcPr>
          <w:p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TFG/TFM: aprenentatge assolit, procés de supervisió i avaluació. </w:t>
            </w:r>
          </w:p>
          <w:p w:rsidR="0027390E" w:rsidRPr="006E64FF" w:rsidRDefault="0027390E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pràctiques externes: aprenentatge assolit, procés de supervisió i avaluació.</w:t>
            </w:r>
          </w:p>
        </w:tc>
      </w:tr>
    </w:tbl>
    <w:p w:rsidR="00820136" w:rsidRDefault="00820136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Default="0027390E" w:rsidP="006E64FF">
      <w:pPr>
        <w:spacing w:after="0" w:line="240" w:lineRule="auto"/>
        <w:rPr>
          <w:lang w:val="ca-ES"/>
        </w:rPr>
      </w:pPr>
    </w:p>
    <w:p w:rsidR="0027390E" w:rsidRPr="006E64FF" w:rsidRDefault="0027390E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2"/>
        <w:gridCol w:w="5068"/>
      </w:tblGrid>
      <w:tr w:rsidR="00820136" w:rsidRPr="006E64FF" w:rsidTr="00EC0FC7">
        <w:tc>
          <w:tcPr>
            <w:tcW w:w="14144" w:type="dxa"/>
            <w:gridSpan w:val="2"/>
            <w:shd w:val="clear" w:color="auto" w:fill="9BBB59" w:themeFill="accent3"/>
          </w:tcPr>
          <w:p w:rsidR="00820136" w:rsidRPr="006E64FF" w:rsidRDefault="00820136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lastRenderedPageBreak/>
              <w:t>TITULATS</w:t>
            </w:r>
          </w:p>
        </w:tc>
      </w:tr>
      <w:tr w:rsidR="00820136" w:rsidRPr="00BB37A4" w:rsidTr="00AA3CFA">
        <w:tc>
          <w:tcPr>
            <w:tcW w:w="5778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d’informació al llarg de la titulació (per exemple, ingrés, desenvolupament operatiu de la titulació, pràctiques externes, TFG/TFM, mobilitat, resultats).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la informació pública.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3. Eficàcia del sistema de garantia interna de la qualitat de la titulació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participació en l’anàlisi, la definició i la revisió de les accions de millora de la titulació: relació entre les accions de millora i la satisfacció dels titulats respecte del programa formatiu.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4. Adequació del professorat al programa formatiu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5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 professorat.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5. Eficàcia dels sistemes de suport a l’aprenentatge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Qualitat dels fons dels serveis bibliotecaris.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els serveis bibliotecaris: accessibilitat als recursos, valoració de les instal·lacions.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les instal·lacions docents: nivell d’ocupació, equipament, actualització, manteniment.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Valoració del pla d’acció tutorial.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3"/>
              </w:numPr>
              <w:rPr>
                <w:lang w:val="ca-ES"/>
              </w:rPr>
            </w:pPr>
            <w:r w:rsidRPr="006E64FF">
              <w:rPr>
                <w:lang w:val="ca-ES"/>
              </w:rPr>
              <w:t>Valoració dels serveis d’orientació professional.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Grau de coneixement del sistema d’avaluació.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del nivell d’exigència de les activitats formatives i avaluatives als resultats d’aprenentatge pretesos.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amb el TFG/TFM: aprenentatge assolit, procés de supervisió i avaluació.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amb les pràctiques externes: aprenentatge assolit, procés de supervisió i avaluació.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a la feina de les competències adquirides.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4"/>
              </w:numPr>
              <w:rPr>
                <w:lang w:val="ca-ES"/>
              </w:rPr>
            </w:pPr>
            <w:r w:rsidRPr="006E64FF">
              <w:rPr>
                <w:lang w:val="ca-ES"/>
              </w:rPr>
              <w:t>Satisfacció sobre la relació entre perfil de formació esperat i perfil de formació real.</w:t>
            </w:r>
          </w:p>
        </w:tc>
      </w:tr>
    </w:tbl>
    <w:p w:rsidR="00820136" w:rsidRPr="006E64FF" w:rsidRDefault="00820136" w:rsidP="006E64FF">
      <w:pPr>
        <w:spacing w:after="0" w:line="240" w:lineRule="auto"/>
        <w:rPr>
          <w:lang w:val="ca-ES"/>
        </w:rPr>
      </w:pPr>
    </w:p>
    <w:p w:rsidR="00820136" w:rsidRPr="006E64FF" w:rsidRDefault="00820136" w:rsidP="006E64FF">
      <w:pPr>
        <w:spacing w:after="0" w:line="240" w:lineRule="auto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40"/>
        <w:gridCol w:w="5080"/>
      </w:tblGrid>
      <w:tr w:rsidR="00820136" w:rsidRPr="006E64FF" w:rsidTr="00EC0FC7">
        <w:tc>
          <w:tcPr>
            <w:tcW w:w="14144" w:type="dxa"/>
            <w:gridSpan w:val="2"/>
            <w:shd w:val="clear" w:color="auto" w:fill="9BBB59" w:themeFill="accent3"/>
          </w:tcPr>
          <w:p w:rsidR="00820136" w:rsidRPr="006E64FF" w:rsidRDefault="00820136" w:rsidP="006E64FF">
            <w:pPr>
              <w:jc w:val="center"/>
              <w:rPr>
                <w:b/>
                <w:lang w:val="ca-ES"/>
              </w:rPr>
            </w:pPr>
            <w:r w:rsidRPr="006E64FF">
              <w:rPr>
                <w:b/>
                <w:sz w:val="24"/>
                <w:lang w:val="ca-ES"/>
              </w:rPr>
              <w:t>OCUPADORS</w:t>
            </w:r>
            <w:r w:rsidR="002D4B56">
              <w:rPr>
                <w:b/>
                <w:sz w:val="24"/>
                <w:lang w:val="ca-ES"/>
              </w:rPr>
              <w:t xml:space="preserve"> (si escau)</w:t>
            </w:r>
          </w:p>
        </w:tc>
      </w:tr>
      <w:tr w:rsidR="00820136" w:rsidRPr="00BB37A4" w:rsidTr="00AA3CFA">
        <w:tc>
          <w:tcPr>
            <w:tcW w:w="5778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ESTÀNDARDS</w:t>
            </w:r>
          </w:p>
        </w:tc>
        <w:tc>
          <w:tcPr>
            <w:tcW w:w="8366" w:type="dxa"/>
            <w:shd w:val="clear" w:color="auto" w:fill="D6E3BC" w:themeFill="accent3" w:themeFillTint="66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QÜESTIONS PER A LES AUDIÈNCIES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2. Pertinència de la informació pública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Utilitat de la informació pública disponible per a la contractació de titulats.</w:t>
            </w:r>
          </w:p>
        </w:tc>
      </w:tr>
      <w:tr w:rsidR="00820136" w:rsidRPr="006E64FF" w:rsidTr="00AA3CFA">
        <w:tc>
          <w:tcPr>
            <w:tcW w:w="5778" w:type="dxa"/>
            <w:vAlign w:val="center"/>
          </w:tcPr>
          <w:p w:rsidR="00820136" w:rsidRPr="006E64FF" w:rsidRDefault="00820136" w:rsidP="00AA3CFA">
            <w:pPr>
              <w:rPr>
                <w:b/>
                <w:lang w:val="ca-ES"/>
              </w:rPr>
            </w:pPr>
            <w:r w:rsidRPr="006E64FF">
              <w:rPr>
                <w:b/>
                <w:lang w:val="ca-ES"/>
              </w:rPr>
              <w:t>6. Qualitat dels resultats dels programes formatius</w:t>
            </w:r>
          </w:p>
        </w:tc>
        <w:tc>
          <w:tcPr>
            <w:tcW w:w="8366" w:type="dxa"/>
            <w:vAlign w:val="center"/>
          </w:tcPr>
          <w:p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Adequació a la feina de les competències adquirides.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 xml:space="preserve">Satisfacció sobre la relació entre perfil de formació esperat i perfil de formació real. 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Comparativa amb graduats d’altres procedències</w:t>
            </w:r>
          </w:p>
          <w:p w:rsidR="00820136" w:rsidRPr="006E64FF" w:rsidRDefault="00820136" w:rsidP="00AA3CFA">
            <w:pPr>
              <w:pStyle w:val="Pargrafdellista"/>
              <w:numPr>
                <w:ilvl w:val="0"/>
                <w:numId w:val="12"/>
              </w:numPr>
              <w:rPr>
                <w:lang w:val="ca-ES"/>
              </w:rPr>
            </w:pPr>
            <w:r w:rsidRPr="006E64FF">
              <w:rPr>
                <w:lang w:val="ca-ES"/>
              </w:rPr>
              <w:t>Grau de coneixement del sistema d’avaluació de les pràctiques externes i del TFG/TFM a empreses.</w:t>
            </w:r>
          </w:p>
        </w:tc>
      </w:tr>
    </w:tbl>
    <w:p w:rsidR="00820136" w:rsidRPr="006E64FF" w:rsidRDefault="00820136" w:rsidP="006E64FF">
      <w:pPr>
        <w:spacing w:after="0" w:line="240" w:lineRule="auto"/>
        <w:rPr>
          <w:lang w:val="ca-ES"/>
        </w:rPr>
      </w:pPr>
    </w:p>
    <w:sectPr w:rsidR="00820136" w:rsidRPr="006E64FF" w:rsidSect="00820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7A" w:rsidRDefault="008A6B7A" w:rsidP="008A6B7A">
      <w:pPr>
        <w:spacing w:after="0" w:line="240" w:lineRule="auto"/>
      </w:pPr>
      <w:r>
        <w:separator/>
      </w:r>
    </w:p>
  </w:endnote>
  <w:endnote w:type="continuationSeparator" w:id="0">
    <w:p w:rsidR="008A6B7A" w:rsidRDefault="008A6B7A" w:rsidP="008A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63" w:rsidRDefault="00751A6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9055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A6B7A" w:rsidRPr="008A6B7A" w:rsidRDefault="008A6B7A">
        <w:pPr>
          <w:pStyle w:val="Peu"/>
          <w:jc w:val="right"/>
          <w:rPr>
            <w:sz w:val="16"/>
            <w:szCs w:val="16"/>
          </w:rPr>
        </w:pPr>
        <w:r w:rsidRPr="008A6B7A">
          <w:rPr>
            <w:sz w:val="18"/>
            <w:szCs w:val="18"/>
          </w:rPr>
          <w:t>Oficina de Qualitat Docent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</w:t>
        </w:r>
        <w:r w:rsidRPr="008A6B7A">
          <w:rPr>
            <w:sz w:val="18"/>
            <w:szCs w:val="18"/>
          </w:rPr>
          <w:t xml:space="preserve">  </w:t>
        </w:r>
        <w:r w:rsidRPr="008A6B7A">
          <w:rPr>
            <w:sz w:val="16"/>
            <w:szCs w:val="16"/>
          </w:rPr>
          <w:fldChar w:fldCharType="begin"/>
        </w:r>
        <w:r w:rsidRPr="008A6B7A">
          <w:rPr>
            <w:sz w:val="16"/>
            <w:szCs w:val="16"/>
          </w:rPr>
          <w:instrText>PAGE   \* MERGEFORMAT</w:instrText>
        </w:r>
        <w:r w:rsidRPr="008A6B7A">
          <w:rPr>
            <w:sz w:val="16"/>
            <w:szCs w:val="16"/>
          </w:rPr>
          <w:fldChar w:fldCharType="separate"/>
        </w:r>
        <w:r w:rsidR="00933ABD" w:rsidRPr="00933ABD">
          <w:rPr>
            <w:noProof/>
            <w:sz w:val="16"/>
            <w:szCs w:val="16"/>
            <w:lang w:val="ca-ES"/>
          </w:rPr>
          <w:t>1</w:t>
        </w:r>
        <w:r w:rsidRPr="008A6B7A">
          <w:rPr>
            <w:sz w:val="16"/>
            <w:szCs w:val="16"/>
          </w:rPr>
          <w:fldChar w:fldCharType="end"/>
        </w:r>
      </w:p>
    </w:sdtContent>
  </w:sdt>
  <w:p w:rsidR="008A6B7A" w:rsidRDefault="008A6B7A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63" w:rsidRDefault="00751A6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7A" w:rsidRDefault="008A6B7A" w:rsidP="008A6B7A">
      <w:pPr>
        <w:spacing w:after="0" w:line="240" w:lineRule="auto"/>
      </w:pPr>
      <w:r>
        <w:separator/>
      </w:r>
    </w:p>
  </w:footnote>
  <w:footnote w:type="continuationSeparator" w:id="0">
    <w:p w:rsidR="008A6B7A" w:rsidRDefault="008A6B7A" w:rsidP="008A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63" w:rsidRDefault="00751A6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FF" w:rsidRDefault="00933ABD" w:rsidP="006E64FF">
    <w:pPr>
      <w:pStyle w:val="Capalera"/>
      <w:jc w:val="right"/>
    </w:pPr>
    <w:sdt>
      <w:sdtPr>
        <w:id w:val="-636186495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080762" o:spid="_x0000_s2050" type="#_x0000_t136" style="position:absolute;left:0;text-align:left;margin-left:0;margin-top:0;width:449.6pt;height:149.85pt;rotation:315;z-index:-251657216;mso-position-horizontal:center;mso-position-horizontal-relative:margin;mso-position-vertical:center;mso-position-vertical-relative:margin" o:allowincell="f" fillcolor="#7f7f7f [1612]" stroked="f">
              <v:textpath style="font-family:&quot;calibri&quot;;font-size:1pt" string="ESBORRANY"/>
              <w10:wrap anchorx="margin" anchory="margin"/>
            </v:shape>
          </w:pict>
        </w:r>
      </w:sdtContent>
    </w:sdt>
    <w:r w:rsidR="006E64FF">
      <w:rPr>
        <w:b/>
        <w:noProof/>
        <w:color w:val="000080"/>
        <w:szCs w:val="16"/>
        <w:lang w:val="ca-ES" w:eastAsia="ca-ES"/>
      </w:rPr>
      <w:drawing>
        <wp:inline distT="0" distB="0" distL="0" distR="0" wp14:anchorId="0171C7A7" wp14:editId="050513C3">
          <wp:extent cx="536639" cy="183737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9" cy="183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63" w:rsidRDefault="00751A63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4BA"/>
    <w:multiLevelType w:val="hybridMultilevel"/>
    <w:tmpl w:val="6428A998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8AE"/>
    <w:multiLevelType w:val="hybridMultilevel"/>
    <w:tmpl w:val="87400E2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5C8"/>
    <w:multiLevelType w:val="hybridMultilevel"/>
    <w:tmpl w:val="246ED36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EC9"/>
    <w:multiLevelType w:val="hybridMultilevel"/>
    <w:tmpl w:val="CE74B6D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F80"/>
    <w:multiLevelType w:val="hybridMultilevel"/>
    <w:tmpl w:val="343AF50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7538"/>
    <w:multiLevelType w:val="hybridMultilevel"/>
    <w:tmpl w:val="5B64A19E"/>
    <w:lvl w:ilvl="0" w:tplc="F9B2CC42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A2B246A"/>
    <w:multiLevelType w:val="hybridMultilevel"/>
    <w:tmpl w:val="5582AC3C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6F37"/>
    <w:multiLevelType w:val="hybridMultilevel"/>
    <w:tmpl w:val="C0E80898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5173"/>
    <w:multiLevelType w:val="hybridMultilevel"/>
    <w:tmpl w:val="F3C0B41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CBC"/>
    <w:multiLevelType w:val="hybridMultilevel"/>
    <w:tmpl w:val="4EFA5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1862"/>
    <w:multiLevelType w:val="hybridMultilevel"/>
    <w:tmpl w:val="001A5F72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7103B"/>
    <w:multiLevelType w:val="hybridMultilevel"/>
    <w:tmpl w:val="99E459B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754E"/>
    <w:multiLevelType w:val="hybridMultilevel"/>
    <w:tmpl w:val="84B8211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B72"/>
    <w:multiLevelType w:val="hybridMultilevel"/>
    <w:tmpl w:val="3A1CD3F0"/>
    <w:lvl w:ilvl="0" w:tplc="389E6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16955"/>
    <w:multiLevelType w:val="hybridMultilevel"/>
    <w:tmpl w:val="6D5CBB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C373B"/>
    <w:multiLevelType w:val="hybridMultilevel"/>
    <w:tmpl w:val="13725680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03B46"/>
    <w:multiLevelType w:val="hybridMultilevel"/>
    <w:tmpl w:val="7576CF26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CF6A24"/>
    <w:multiLevelType w:val="hybridMultilevel"/>
    <w:tmpl w:val="4EDCA86A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C2991"/>
    <w:multiLevelType w:val="hybridMultilevel"/>
    <w:tmpl w:val="A4AAAAFE"/>
    <w:lvl w:ilvl="0" w:tplc="F9B2C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8"/>
  </w:num>
  <w:num w:numId="5">
    <w:abstractNumId w:val="4"/>
  </w:num>
  <w:num w:numId="6">
    <w:abstractNumId w:val="16"/>
  </w:num>
  <w:num w:numId="7">
    <w:abstractNumId w:val="10"/>
  </w:num>
  <w:num w:numId="8">
    <w:abstractNumId w:val="15"/>
  </w:num>
  <w:num w:numId="9">
    <w:abstractNumId w:val="17"/>
  </w:num>
  <w:num w:numId="10">
    <w:abstractNumId w:val="5"/>
  </w:num>
  <w:num w:numId="11">
    <w:abstractNumId w:val="1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36"/>
    <w:rsid w:val="00097E72"/>
    <w:rsid w:val="000E2B0B"/>
    <w:rsid w:val="00142A08"/>
    <w:rsid w:val="00145C49"/>
    <w:rsid w:val="0027390E"/>
    <w:rsid w:val="002D05DE"/>
    <w:rsid w:val="002D4B56"/>
    <w:rsid w:val="003415CF"/>
    <w:rsid w:val="00566087"/>
    <w:rsid w:val="006A44F7"/>
    <w:rsid w:val="006E64FF"/>
    <w:rsid w:val="00751A63"/>
    <w:rsid w:val="007542D2"/>
    <w:rsid w:val="00820136"/>
    <w:rsid w:val="008A6B7A"/>
    <w:rsid w:val="00933ABD"/>
    <w:rsid w:val="00A2511A"/>
    <w:rsid w:val="00A32CAF"/>
    <w:rsid w:val="00A75C04"/>
    <w:rsid w:val="00AA3CFA"/>
    <w:rsid w:val="00B255E9"/>
    <w:rsid w:val="00B41BFF"/>
    <w:rsid w:val="00BB37A4"/>
    <w:rsid w:val="00C97E9A"/>
    <w:rsid w:val="00CA0B77"/>
    <w:rsid w:val="00CA421D"/>
    <w:rsid w:val="00E50ABD"/>
    <w:rsid w:val="00E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E09759-9CF8-4079-AA0B-2475B85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3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820136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8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A6B7A"/>
  </w:style>
  <w:style w:type="paragraph" w:styleId="Peu">
    <w:name w:val="footer"/>
    <w:basedOn w:val="Normal"/>
    <w:link w:val="PeuCar"/>
    <w:uiPriority w:val="99"/>
    <w:unhideWhenUsed/>
    <w:rsid w:val="008A6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A6B7A"/>
  </w:style>
  <w:style w:type="paragraph" w:customStyle="1" w:styleId="Default">
    <w:name w:val="Default"/>
    <w:rsid w:val="00B25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E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E6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Antonio Chico Ceprián</cp:lastModifiedBy>
  <cp:revision>2</cp:revision>
  <cp:lastPrinted>2015-04-09T12:11:00Z</cp:lastPrinted>
  <dcterms:created xsi:type="dcterms:W3CDTF">2016-02-10T13:52:00Z</dcterms:created>
  <dcterms:modified xsi:type="dcterms:W3CDTF">2016-02-10T13:52:00Z</dcterms:modified>
</cp:coreProperties>
</file>